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6610A2" w:rsidRPr="006752B2">
        <w:trPr>
          <w:trHeight w:hRule="exact" w:val="1528"/>
        </w:trPr>
        <w:tc>
          <w:tcPr>
            <w:tcW w:w="143" w:type="dxa"/>
          </w:tcPr>
          <w:p w:rsidR="006610A2" w:rsidRDefault="006610A2"/>
        </w:tc>
        <w:tc>
          <w:tcPr>
            <w:tcW w:w="285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6610A2" w:rsidRPr="006752B2">
        <w:trPr>
          <w:trHeight w:hRule="exact" w:val="138"/>
        </w:trPr>
        <w:tc>
          <w:tcPr>
            <w:tcW w:w="14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610A2" w:rsidRPr="006752B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6610A2" w:rsidRPr="006752B2">
        <w:trPr>
          <w:trHeight w:hRule="exact" w:val="211"/>
        </w:trPr>
        <w:tc>
          <w:tcPr>
            <w:tcW w:w="14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>
        <w:trPr>
          <w:trHeight w:hRule="exact" w:val="277"/>
        </w:trPr>
        <w:tc>
          <w:tcPr>
            <w:tcW w:w="14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610A2">
        <w:trPr>
          <w:trHeight w:hRule="exact" w:val="138"/>
        </w:trPr>
        <w:tc>
          <w:tcPr>
            <w:tcW w:w="143" w:type="dxa"/>
          </w:tcPr>
          <w:p w:rsidR="006610A2" w:rsidRDefault="006610A2"/>
        </w:tc>
        <w:tc>
          <w:tcPr>
            <w:tcW w:w="285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426" w:type="dxa"/>
          </w:tcPr>
          <w:p w:rsidR="006610A2" w:rsidRDefault="006610A2"/>
        </w:tc>
        <w:tc>
          <w:tcPr>
            <w:tcW w:w="1277" w:type="dxa"/>
          </w:tcPr>
          <w:p w:rsidR="006610A2" w:rsidRDefault="006610A2"/>
        </w:tc>
        <w:tc>
          <w:tcPr>
            <w:tcW w:w="993" w:type="dxa"/>
          </w:tcPr>
          <w:p w:rsidR="006610A2" w:rsidRDefault="006610A2"/>
        </w:tc>
        <w:tc>
          <w:tcPr>
            <w:tcW w:w="2836" w:type="dxa"/>
          </w:tcPr>
          <w:p w:rsidR="006610A2" w:rsidRDefault="006610A2"/>
        </w:tc>
      </w:tr>
      <w:tr w:rsidR="006610A2" w:rsidRPr="006752B2">
        <w:trPr>
          <w:trHeight w:hRule="exact" w:val="277"/>
        </w:trPr>
        <w:tc>
          <w:tcPr>
            <w:tcW w:w="143" w:type="dxa"/>
          </w:tcPr>
          <w:p w:rsidR="006610A2" w:rsidRDefault="006610A2"/>
        </w:tc>
        <w:tc>
          <w:tcPr>
            <w:tcW w:w="285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426" w:type="dxa"/>
          </w:tcPr>
          <w:p w:rsidR="006610A2" w:rsidRDefault="006610A2"/>
        </w:tc>
        <w:tc>
          <w:tcPr>
            <w:tcW w:w="1277" w:type="dxa"/>
          </w:tcPr>
          <w:p w:rsidR="006610A2" w:rsidRDefault="006610A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6610A2" w:rsidRPr="006752B2">
        <w:trPr>
          <w:trHeight w:hRule="exact" w:val="138"/>
        </w:trPr>
        <w:tc>
          <w:tcPr>
            <w:tcW w:w="14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>
        <w:trPr>
          <w:trHeight w:hRule="exact" w:val="277"/>
        </w:trPr>
        <w:tc>
          <w:tcPr>
            <w:tcW w:w="14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610A2">
        <w:trPr>
          <w:trHeight w:hRule="exact" w:val="138"/>
        </w:trPr>
        <w:tc>
          <w:tcPr>
            <w:tcW w:w="143" w:type="dxa"/>
          </w:tcPr>
          <w:p w:rsidR="006610A2" w:rsidRDefault="006610A2"/>
        </w:tc>
        <w:tc>
          <w:tcPr>
            <w:tcW w:w="285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426" w:type="dxa"/>
          </w:tcPr>
          <w:p w:rsidR="006610A2" w:rsidRDefault="006610A2"/>
        </w:tc>
        <w:tc>
          <w:tcPr>
            <w:tcW w:w="1277" w:type="dxa"/>
          </w:tcPr>
          <w:p w:rsidR="006610A2" w:rsidRDefault="006610A2"/>
        </w:tc>
        <w:tc>
          <w:tcPr>
            <w:tcW w:w="993" w:type="dxa"/>
          </w:tcPr>
          <w:p w:rsidR="006610A2" w:rsidRDefault="006610A2"/>
        </w:tc>
        <w:tc>
          <w:tcPr>
            <w:tcW w:w="2836" w:type="dxa"/>
          </w:tcPr>
          <w:p w:rsidR="006610A2" w:rsidRDefault="006610A2"/>
        </w:tc>
      </w:tr>
      <w:tr w:rsidR="006610A2">
        <w:trPr>
          <w:trHeight w:hRule="exact" w:val="277"/>
        </w:trPr>
        <w:tc>
          <w:tcPr>
            <w:tcW w:w="143" w:type="dxa"/>
          </w:tcPr>
          <w:p w:rsidR="006610A2" w:rsidRDefault="006610A2"/>
        </w:tc>
        <w:tc>
          <w:tcPr>
            <w:tcW w:w="285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426" w:type="dxa"/>
          </w:tcPr>
          <w:p w:rsidR="006610A2" w:rsidRDefault="006610A2"/>
        </w:tc>
        <w:tc>
          <w:tcPr>
            <w:tcW w:w="1277" w:type="dxa"/>
          </w:tcPr>
          <w:p w:rsidR="006610A2" w:rsidRDefault="006610A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6610A2">
        <w:trPr>
          <w:trHeight w:hRule="exact" w:val="277"/>
        </w:trPr>
        <w:tc>
          <w:tcPr>
            <w:tcW w:w="143" w:type="dxa"/>
          </w:tcPr>
          <w:p w:rsidR="006610A2" w:rsidRDefault="006610A2"/>
        </w:tc>
        <w:tc>
          <w:tcPr>
            <w:tcW w:w="285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426" w:type="dxa"/>
          </w:tcPr>
          <w:p w:rsidR="006610A2" w:rsidRDefault="006610A2"/>
        </w:tc>
        <w:tc>
          <w:tcPr>
            <w:tcW w:w="1277" w:type="dxa"/>
          </w:tcPr>
          <w:p w:rsidR="006610A2" w:rsidRDefault="006610A2"/>
        </w:tc>
        <w:tc>
          <w:tcPr>
            <w:tcW w:w="993" w:type="dxa"/>
          </w:tcPr>
          <w:p w:rsidR="006610A2" w:rsidRDefault="006610A2"/>
        </w:tc>
        <w:tc>
          <w:tcPr>
            <w:tcW w:w="2836" w:type="dxa"/>
          </w:tcPr>
          <w:p w:rsidR="006610A2" w:rsidRDefault="006610A2"/>
        </w:tc>
      </w:tr>
      <w:tr w:rsidR="006610A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610A2" w:rsidRPr="006752B2">
        <w:trPr>
          <w:trHeight w:hRule="exact" w:val="775"/>
        </w:trPr>
        <w:tc>
          <w:tcPr>
            <w:tcW w:w="143" w:type="dxa"/>
          </w:tcPr>
          <w:p w:rsidR="006610A2" w:rsidRDefault="006610A2"/>
        </w:tc>
        <w:tc>
          <w:tcPr>
            <w:tcW w:w="285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ЗОЖ и гигиена</w:t>
            </w:r>
          </w:p>
          <w:p w:rsidR="006610A2" w:rsidRPr="0088402B" w:rsidRDefault="00E0293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Б1.О.03.01</w:t>
            </w:r>
          </w:p>
        </w:tc>
        <w:tc>
          <w:tcPr>
            <w:tcW w:w="283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610A2" w:rsidRPr="006752B2">
        <w:trPr>
          <w:trHeight w:hRule="exact" w:val="1396"/>
        </w:trPr>
        <w:tc>
          <w:tcPr>
            <w:tcW w:w="143" w:type="dxa"/>
          </w:tcPr>
          <w:p w:rsidR="006610A2" w:rsidRDefault="006610A2"/>
        </w:tc>
        <w:tc>
          <w:tcPr>
            <w:tcW w:w="285" w:type="dxa"/>
          </w:tcPr>
          <w:p w:rsidR="006610A2" w:rsidRDefault="006610A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610A2" w:rsidRPr="006752B2">
        <w:trPr>
          <w:trHeight w:hRule="exact" w:val="138"/>
        </w:trPr>
        <w:tc>
          <w:tcPr>
            <w:tcW w:w="14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6610A2" w:rsidRPr="006752B2">
        <w:trPr>
          <w:trHeight w:hRule="exact" w:val="416"/>
        </w:trPr>
        <w:tc>
          <w:tcPr>
            <w:tcW w:w="14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610A2" w:rsidRDefault="006610A2"/>
        </w:tc>
        <w:tc>
          <w:tcPr>
            <w:tcW w:w="426" w:type="dxa"/>
          </w:tcPr>
          <w:p w:rsidR="006610A2" w:rsidRDefault="006610A2"/>
        </w:tc>
        <w:tc>
          <w:tcPr>
            <w:tcW w:w="1277" w:type="dxa"/>
          </w:tcPr>
          <w:p w:rsidR="006610A2" w:rsidRDefault="006610A2"/>
        </w:tc>
        <w:tc>
          <w:tcPr>
            <w:tcW w:w="993" w:type="dxa"/>
          </w:tcPr>
          <w:p w:rsidR="006610A2" w:rsidRDefault="006610A2"/>
        </w:tc>
        <w:tc>
          <w:tcPr>
            <w:tcW w:w="2836" w:type="dxa"/>
          </w:tcPr>
          <w:p w:rsidR="006610A2" w:rsidRDefault="006610A2"/>
        </w:tc>
      </w:tr>
      <w:tr w:rsidR="006610A2">
        <w:trPr>
          <w:trHeight w:hRule="exact" w:val="155"/>
        </w:trPr>
        <w:tc>
          <w:tcPr>
            <w:tcW w:w="143" w:type="dxa"/>
          </w:tcPr>
          <w:p w:rsidR="006610A2" w:rsidRDefault="006610A2"/>
        </w:tc>
        <w:tc>
          <w:tcPr>
            <w:tcW w:w="285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426" w:type="dxa"/>
          </w:tcPr>
          <w:p w:rsidR="006610A2" w:rsidRDefault="006610A2"/>
        </w:tc>
        <w:tc>
          <w:tcPr>
            <w:tcW w:w="1277" w:type="dxa"/>
          </w:tcPr>
          <w:p w:rsidR="006610A2" w:rsidRDefault="006610A2"/>
        </w:tc>
        <w:tc>
          <w:tcPr>
            <w:tcW w:w="993" w:type="dxa"/>
          </w:tcPr>
          <w:p w:rsidR="006610A2" w:rsidRDefault="006610A2"/>
        </w:tc>
        <w:tc>
          <w:tcPr>
            <w:tcW w:w="2836" w:type="dxa"/>
          </w:tcPr>
          <w:p w:rsidR="006610A2" w:rsidRDefault="006610A2"/>
        </w:tc>
      </w:tr>
      <w:tr w:rsidR="006610A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610A2" w:rsidRPr="006752B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610A2" w:rsidRPr="006752B2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6610A2" w:rsidRPr="006752B2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124"/>
        </w:trPr>
        <w:tc>
          <w:tcPr>
            <w:tcW w:w="14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6610A2">
        <w:trPr>
          <w:trHeight w:hRule="exact" w:val="26"/>
        </w:trPr>
        <w:tc>
          <w:tcPr>
            <w:tcW w:w="143" w:type="dxa"/>
          </w:tcPr>
          <w:p w:rsidR="006610A2" w:rsidRDefault="006610A2"/>
        </w:tc>
        <w:tc>
          <w:tcPr>
            <w:tcW w:w="285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426" w:type="dxa"/>
          </w:tcPr>
          <w:p w:rsidR="006610A2" w:rsidRDefault="006610A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6610A2"/>
        </w:tc>
      </w:tr>
      <w:tr w:rsidR="006610A2">
        <w:trPr>
          <w:trHeight w:hRule="exact" w:val="2131"/>
        </w:trPr>
        <w:tc>
          <w:tcPr>
            <w:tcW w:w="143" w:type="dxa"/>
          </w:tcPr>
          <w:p w:rsidR="006610A2" w:rsidRDefault="006610A2"/>
        </w:tc>
        <w:tc>
          <w:tcPr>
            <w:tcW w:w="285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1419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426" w:type="dxa"/>
          </w:tcPr>
          <w:p w:rsidR="006610A2" w:rsidRDefault="006610A2"/>
        </w:tc>
        <w:tc>
          <w:tcPr>
            <w:tcW w:w="1277" w:type="dxa"/>
          </w:tcPr>
          <w:p w:rsidR="006610A2" w:rsidRDefault="006610A2"/>
        </w:tc>
        <w:tc>
          <w:tcPr>
            <w:tcW w:w="993" w:type="dxa"/>
          </w:tcPr>
          <w:p w:rsidR="006610A2" w:rsidRDefault="006610A2"/>
        </w:tc>
        <w:tc>
          <w:tcPr>
            <w:tcW w:w="2836" w:type="dxa"/>
          </w:tcPr>
          <w:p w:rsidR="006610A2" w:rsidRDefault="006610A2"/>
        </w:tc>
      </w:tr>
      <w:tr w:rsidR="006610A2">
        <w:trPr>
          <w:trHeight w:hRule="exact" w:val="277"/>
        </w:trPr>
        <w:tc>
          <w:tcPr>
            <w:tcW w:w="143" w:type="dxa"/>
          </w:tcPr>
          <w:p w:rsidR="006610A2" w:rsidRDefault="006610A2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610A2">
        <w:trPr>
          <w:trHeight w:hRule="exact" w:val="138"/>
        </w:trPr>
        <w:tc>
          <w:tcPr>
            <w:tcW w:w="143" w:type="dxa"/>
          </w:tcPr>
          <w:p w:rsidR="006610A2" w:rsidRDefault="006610A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6610A2"/>
        </w:tc>
      </w:tr>
      <w:tr w:rsidR="006610A2">
        <w:trPr>
          <w:trHeight w:hRule="exact" w:val="1666"/>
        </w:trPr>
        <w:tc>
          <w:tcPr>
            <w:tcW w:w="143" w:type="dxa"/>
          </w:tcPr>
          <w:p w:rsidR="006610A2" w:rsidRDefault="006610A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</w:t>
            </w:r>
            <w:r w:rsidR="00675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обучения 2020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6610A2" w:rsidRPr="0088402B" w:rsidRDefault="006610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6610A2" w:rsidRPr="0088402B" w:rsidRDefault="006610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6610A2" w:rsidRDefault="00E029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610A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610A2" w:rsidRPr="0088402B" w:rsidRDefault="006610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б.н., доцент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Е.С.</w:t>
            </w:r>
          </w:p>
          <w:p w:rsidR="006610A2" w:rsidRPr="0088402B" w:rsidRDefault="006610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6610A2" w:rsidRPr="006752B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 w:rsidP="00884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 w:rsid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6610A2" w:rsidRPr="0088402B" w:rsidRDefault="00E02931">
      <w:pPr>
        <w:rPr>
          <w:sz w:val="0"/>
          <w:szCs w:val="0"/>
          <w:lang w:val="ru-RU"/>
        </w:rPr>
      </w:pPr>
      <w:r w:rsidRPr="00884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0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610A2">
        <w:trPr>
          <w:trHeight w:hRule="exact" w:val="555"/>
        </w:trPr>
        <w:tc>
          <w:tcPr>
            <w:tcW w:w="9640" w:type="dxa"/>
          </w:tcPr>
          <w:p w:rsidR="006610A2" w:rsidRDefault="006610A2"/>
        </w:tc>
      </w:tr>
      <w:tr w:rsidR="006610A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610A2" w:rsidRDefault="00E029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0A2" w:rsidRPr="006752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610A2" w:rsidRPr="006752B2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ЗОЖ и гигиена» в течение 2021/2022 учебного года: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6610A2" w:rsidRPr="0088402B" w:rsidRDefault="00E02931">
      <w:pPr>
        <w:rPr>
          <w:sz w:val="0"/>
          <w:szCs w:val="0"/>
          <w:lang w:val="ru-RU"/>
        </w:rPr>
      </w:pPr>
      <w:r w:rsidRPr="00884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0A2" w:rsidRPr="006752B2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Б1.О.03.01 «Основы ЗОЖ и гигиена».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610A2" w:rsidRPr="006752B2">
        <w:trPr>
          <w:trHeight w:hRule="exact" w:val="139"/>
        </w:trPr>
        <w:tc>
          <w:tcPr>
            <w:tcW w:w="964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ЗОЖ и гигиена»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610A2" w:rsidRPr="006752B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6610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610A2" w:rsidRPr="006752B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гуманитарных знаний, естественнонаучных знаний, духовно- нравственного воспитания</w:t>
            </w:r>
          </w:p>
        </w:tc>
      </w:tr>
      <w:tr w:rsidR="006610A2" w:rsidRPr="006752B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8.2 уметь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6610A2" w:rsidRPr="006752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8.3 владеть навыками использования современных научных знаний и результатов педагогических исследований в образовательном процессе</w:t>
            </w:r>
          </w:p>
        </w:tc>
      </w:tr>
      <w:tr w:rsidR="006610A2" w:rsidRPr="006752B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8.4 владеть навыками применения различных форм и методов  обучения</w:t>
            </w:r>
          </w:p>
        </w:tc>
      </w:tr>
      <w:tr w:rsidR="006610A2" w:rsidRPr="006752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8.5 владеть действиями (навыками) организации различных видов внеурочной деятельности</w:t>
            </w:r>
          </w:p>
        </w:tc>
      </w:tr>
      <w:tr w:rsidR="006610A2" w:rsidRPr="006752B2">
        <w:trPr>
          <w:trHeight w:hRule="exact" w:val="277"/>
        </w:trPr>
        <w:tc>
          <w:tcPr>
            <w:tcW w:w="964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6610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610A2" w:rsidRPr="006752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1.3 знать условия, способы и средства личностного и профессионального саморазвития</w:t>
            </w:r>
          </w:p>
        </w:tc>
      </w:tr>
      <w:tr w:rsidR="006610A2" w:rsidRPr="006752B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1.5 уметь проектировать программу личностного и профессионального развития</w:t>
            </w:r>
          </w:p>
        </w:tc>
      </w:tr>
      <w:tr w:rsidR="006610A2" w:rsidRPr="006752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1.7 владеть навыками проектирования и реализации векторов профессионального и личностного саморазвития</w:t>
            </w:r>
          </w:p>
        </w:tc>
      </w:tr>
      <w:tr w:rsidR="006610A2" w:rsidRPr="006752B2">
        <w:trPr>
          <w:trHeight w:hRule="exact" w:val="277"/>
        </w:trPr>
        <w:tc>
          <w:tcPr>
            <w:tcW w:w="964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610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610A2" w:rsidRPr="006752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1.3 уметь рассматривать различные варианты решения задачи, оценивая их достоинства и недостатки</w:t>
            </w:r>
          </w:p>
        </w:tc>
      </w:tr>
    </w:tbl>
    <w:p w:rsidR="006610A2" w:rsidRPr="0088402B" w:rsidRDefault="00E02931">
      <w:pPr>
        <w:rPr>
          <w:sz w:val="0"/>
          <w:szCs w:val="0"/>
          <w:lang w:val="ru-RU"/>
        </w:rPr>
      </w:pPr>
      <w:r w:rsidRPr="00884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6610A2" w:rsidRPr="006752B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УК-7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610A2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610A2" w:rsidRPr="006752B2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7.1 знать основы здорового образа жизни и здоровьесберегающие технологии</w:t>
            </w:r>
          </w:p>
        </w:tc>
      </w:tr>
      <w:tr w:rsidR="006610A2" w:rsidRPr="006752B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7.2 уметь 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</w:p>
        </w:tc>
      </w:tr>
      <w:tr w:rsidR="006610A2" w:rsidRPr="006752B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7.3 владеть навыками сохранения  должного уровня физической подготовленности для обеспечения полноценной социальной и профессиональной деятельности и навыками здорового образа жизни</w:t>
            </w:r>
          </w:p>
        </w:tc>
      </w:tr>
      <w:tr w:rsidR="006610A2" w:rsidRPr="006752B2">
        <w:trPr>
          <w:trHeight w:hRule="exact" w:val="277"/>
        </w:trPr>
        <w:tc>
          <w:tcPr>
            <w:tcW w:w="397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1396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УК-8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610A2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610A2" w:rsidRPr="006752B2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8.1 знать основы безопасности жизнедеятельности</w:t>
            </w:r>
          </w:p>
        </w:tc>
      </w:tr>
      <w:tr w:rsidR="006610A2" w:rsidRPr="006752B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8.3 уметь осуществлять действия по предотвращению возникновения чрезвычайных ситуаций (природного и техногенного происхождения) на рабочем месте</w:t>
            </w:r>
          </w:p>
        </w:tc>
      </w:tr>
      <w:tr w:rsidR="006610A2" w:rsidRPr="006752B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8.4 уметь  принимать участие в спасательных и неотложных аварийно- восстановительных мероприятиях в случае возникновения чрезвычайных ситуаций и военных конфликтов</w:t>
            </w:r>
          </w:p>
        </w:tc>
      </w:tr>
      <w:tr w:rsidR="006610A2" w:rsidRPr="006752B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8.5 владеть навыками обеспечения безопасных и/или комфортных условий труда на рабочем месте.</w:t>
            </w:r>
          </w:p>
        </w:tc>
      </w:tr>
      <w:tr w:rsidR="006610A2" w:rsidRPr="006752B2">
        <w:trPr>
          <w:trHeight w:hRule="exact" w:val="416"/>
        </w:trPr>
        <w:tc>
          <w:tcPr>
            <w:tcW w:w="397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6610A2" w:rsidRPr="006752B2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Б1.О.03.01 «Основы ЗОЖ и гигиена» относится к обязательной части, является дисциплиной Блока Б1. «Дисциплины (модули)». Модуль 3 "Здоровьесберегающий"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  <w:tr w:rsidR="006610A2" w:rsidRPr="006752B2">
        <w:trPr>
          <w:trHeight w:hRule="exact" w:val="138"/>
        </w:trPr>
        <w:tc>
          <w:tcPr>
            <w:tcW w:w="397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610A2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Default="006610A2"/>
        </w:tc>
      </w:tr>
      <w:tr w:rsidR="006610A2" w:rsidRPr="006752B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142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Default="00E029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Default="00E029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Анатомия и возрастная физиология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УК-7, УК-8, ОПК-8, ПК-1, УК-1</w:t>
            </w:r>
          </w:p>
        </w:tc>
      </w:tr>
      <w:tr w:rsidR="006610A2" w:rsidRPr="006752B2">
        <w:trPr>
          <w:trHeight w:hRule="exact" w:val="138"/>
        </w:trPr>
        <w:tc>
          <w:tcPr>
            <w:tcW w:w="397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610A2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</w:tbl>
    <w:p w:rsidR="006610A2" w:rsidRDefault="00E029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6610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610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10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0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10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0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6610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10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6610A2"/>
        </w:tc>
      </w:tr>
      <w:tr w:rsidR="006610A2">
        <w:trPr>
          <w:trHeight w:hRule="exact" w:val="138"/>
        </w:trPr>
        <w:tc>
          <w:tcPr>
            <w:tcW w:w="5671" w:type="dxa"/>
          </w:tcPr>
          <w:p w:rsidR="006610A2" w:rsidRDefault="006610A2"/>
        </w:tc>
        <w:tc>
          <w:tcPr>
            <w:tcW w:w="1702" w:type="dxa"/>
          </w:tcPr>
          <w:p w:rsidR="006610A2" w:rsidRDefault="006610A2"/>
        </w:tc>
        <w:tc>
          <w:tcPr>
            <w:tcW w:w="426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1135" w:type="dxa"/>
          </w:tcPr>
          <w:p w:rsidR="006610A2" w:rsidRDefault="006610A2"/>
        </w:tc>
      </w:tr>
      <w:tr w:rsidR="006610A2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610A2" w:rsidRPr="0088402B" w:rsidRDefault="006610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610A2">
        <w:trPr>
          <w:trHeight w:hRule="exact" w:val="416"/>
        </w:trPr>
        <w:tc>
          <w:tcPr>
            <w:tcW w:w="5671" w:type="dxa"/>
          </w:tcPr>
          <w:p w:rsidR="006610A2" w:rsidRDefault="006610A2"/>
        </w:tc>
        <w:tc>
          <w:tcPr>
            <w:tcW w:w="1702" w:type="dxa"/>
          </w:tcPr>
          <w:p w:rsidR="006610A2" w:rsidRDefault="006610A2"/>
        </w:tc>
        <w:tc>
          <w:tcPr>
            <w:tcW w:w="426" w:type="dxa"/>
          </w:tcPr>
          <w:p w:rsidR="006610A2" w:rsidRDefault="006610A2"/>
        </w:tc>
        <w:tc>
          <w:tcPr>
            <w:tcW w:w="710" w:type="dxa"/>
          </w:tcPr>
          <w:p w:rsidR="006610A2" w:rsidRDefault="006610A2"/>
        </w:tc>
        <w:tc>
          <w:tcPr>
            <w:tcW w:w="1135" w:type="dxa"/>
          </w:tcPr>
          <w:p w:rsidR="006610A2" w:rsidRDefault="006610A2"/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Факторы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0A2" w:rsidRDefault="006610A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0A2" w:rsidRDefault="006610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0A2" w:rsidRDefault="006610A2"/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как состояние и свойство организма.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как состояние и свойство организма.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Наследственность как фактор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0A2" w:rsidRDefault="006610A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0A2" w:rsidRDefault="006610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10A2" w:rsidRDefault="006610A2"/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его компоненты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гигиены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гигиены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Физиологические основы здоровья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10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гигиены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610A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подготовке к зачёту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10A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6610A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6610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610A2" w:rsidRPr="006752B2">
        <w:trPr>
          <w:trHeight w:hRule="exact" w:val="521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610A2" w:rsidRPr="0088402B" w:rsidRDefault="00E029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</w:t>
            </w:r>
          </w:p>
        </w:tc>
      </w:tr>
    </w:tbl>
    <w:p w:rsidR="006610A2" w:rsidRPr="0088402B" w:rsidRDefault="00E02931">
      <w:pPr>
        <w:rPr>
          <w:sz w:val="0"/>
          <w:szCs w:val="0"/>
          <w:lang w:val="ru-RU"/>
        </w:rPr>
      </w:pPr>
      <w:r w:rsidRPr="00884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0A2" w:rsidRPr="006752B2">
        <w:trPr>
          <w:trHeight w:hRule="exact" w:val="126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 нормативным актом образовательной организации).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840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610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610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610A2" w:rsidRPr="006752B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Здоровье как состояние и свойство организма.</w:t>
            </w:r>
          </w:p>
        </w:tc>
      </w:tr>
      <w:tr w:rsidR="006610A2" w:rsidRPr="006752B2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понятия «здоровье». Здоровье индивидуальное и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общественное, их характеристики. Физический, социальный и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аспекты здоровья. Понятия «норма», «гомеостаз»,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«адаптация». Границы применения понятий «здоровье» и «болезнь».</w:t>
            </w:r>
          </w:p>
          <w:p w:rsidR="006610A2" w:rsidRDefault="00E02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здоровья, ее методы.</w:t>
            </w:r>
          </w:p>
        </w:tc>
      </w:tr>
    </w:tbl>
    <w:p w:rsidR="006610A2" w:rsidRDefault="00E029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0A2" w:rsidRPr="006752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Окружающая среда и здоровье человека</w:t>
            </w:r>
          </w:p>
        </w:tc>
      </w:tr>
      <w:tr w:rsidR="006610A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окружающей среды и характер их воздействия на человека.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природно-очаговых и эндемических заболеваний.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Биологические ритмы и здоровье. Десинхронозы и метеопатии и пути их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ограничения. Взаимосвязь экологии и медицины в изучении и укреплении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 человека. Особенности жизни в антропогенных и техногенных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системах. Влияние антропогенных факторов на здоровье человека.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Загрязняющие вещества и принципы их нормирования. Производственная</w:t>
            </w:r>
          </w:p>
          <w:p w:rsidR="006610A2" w:rsidRDefault="00E02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среда и среда жилого помещения.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жилища</w:t>
            </w:r>
          </w:p>
        </w:tc>
      </w:tr>
      <w:tr w:rsidR="006610A2" w:rsidRPr="006752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Здоровый образ жизни и его компоненты</w:t>
            </w:r>
          </w:p>
        </w:tc>
      </w:tr>
      <w:tr w:rsidR="006610A2" w:rsidRPr="006752B2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«здоровый образ жизни». Компоненты здорового образа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жизни. Оценка эффективности образа жизни. Рациональное питание, его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принципы. Концепция сбалансированного питания. Идеальная и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нормальная масса тела. Двигательная активность и нормы для разных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возрастных категорий. Физиологические основы физической культуры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 Гиподинамия.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Иммунитет и здоровье. Классификация защитных механизмов.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 иммунитета. Факторы риска иммунитета.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стресса. Психические, поведенческие и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висцеральные проявления стресса. Приемы поведенческой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антистрессорной защиты.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Вредные привычки и болезни химической зависимости.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Табакозависимость и способы ее преодоления. Алкогольная зависимость.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психоактивных веществ.</w:t>
            </w:r>
          </w:p>
        </w:tc>
      </w:tr>
      <w:tr w:rsidR="006610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гигиены</w:t>
            </w:r>
          </w:p>
        </w:tc>
      </w:tr>
      <w:tr w:rsidR="006610A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Гигиена – как раздел профилактической медицины. Предмет, объект, цели гигиены. Личная гигиена и режим дня для поддержания здоровья человека.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гигиена. Санитарно-эпидемиологические требования к организации учебного процесса</w:t>
            </w:r>
          </w:p>
        </w:tc>
      </w:tr>
      <w:tr w:rsidR="006610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610A2">
        <w:trPr>
          <w:trHeight w:hRule="exact" w:val="14"/>
        </w:trPr>
        <w:tc>
          <w:tcPr>
            <w:tcW w:w="9640" w:type="dxa"/>
          </w:tcPr>
          <w:p w:rsidR="006610A2" w:rsidRDefault="006610A2"/>
        </w:tc>
      </w:tr>
      <w:tr w:rsidR="006610A2" w:rsidRPr="006752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Окружающая среда и здоровье человека</w:t>
            </w:r>
          </w:p>
        </w:tc>
      </w:tr>
      <w:tr w:rsidR="006610A2" w:rsidRPr="006752B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к практическим работам</w:t>
            </w:r>
          </w:p>
        </w:tc>
      </w:tr>
      <w:tr w:rsidR="006610A2" w:rsidRPr="006752B2">
        <w:trPr>
          <w:trHeight w:hRule="exact" w:val="14"/>
        </w:trPr>
        <w:tc>
          <w:tcPr>
            <w:tcW w:w="964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гигиены</w:t>
            </w:r>
          </w:p>
        </w:tc>
      </w:tr>
      <w:tr w:rsidR="006610A2" w:rsidRPr="006752B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к практическим работам</w:t>
            </w:r>
          </w:p>
        </w:tc>
      </w:tr>
      <w:tr w:rsidR="006610A2" w:rsidRPr="006752B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610A2" w:rsidRPr="006752B2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ЗОЖ и гигиена» / Денисова Е.С.. – Омск: Изд-во Омской гуманитарной академии, 2021.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6610A2" w:rsidRPr="0088402B" w:rsidRDefault="00E02931">
      <w:pPr>
        <w:rPr>
          <w:sz w:val="0"/>
          <w:szCs w:val="0"/>
          <w:lang w:val="ru-RU"/>
        </w:rPr>
      </w:pPr>
      <w:r w:rsidRPr="00884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610A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610A2" w:rsidRPr="006752B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Косованова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978-5-534-07354-6.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402B">
              <w:rPr>
                <w:lang w:val="ru-RU"/>
              </w:rPr>
              <w:t xml:space="preserve"> </w:t>
            </w:r>
            <w:hyperlink r:id="rId4" w:history="1">
              <w:r w:rsidR="00D7334E">
                <w:rPr>
                  <w:rStyle w:val="a3"/>
                  <w:lang w:val="ru-RU"/>
                </w:rPr>
                <w:t>https://urait.ru/bcode/437220</w:t>
              </w:r>
            </w:hyperlink>
            <w:r w:rsidRPr="0088402B">
              <w:rPr>
                <w:lang w:val="ru-RU"/>
              </w:rPr>
              <w:t xml:space="preserve"> </w:t>
            </w:r>
          </w:p>
        </w:tc>
      </w:tr>
      <w:tr w:rsidR="006610A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Здоровьесберегающая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Тихомирова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Макеева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840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978-5-534-06930-3.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D7334E">
                <w:rPr>
                  <w:rStyle w:val="a3"/>
                </w:rPr>
                <w:t>https://urait.ru/bcode/442123</w:t>
              </w:r>
            </w:hyperlink>
            <w:r>
              <w:t xml:space="preserve"> </w:t>
            </w:r>
          </w:p>
        </w:tc>
      </w:tr>
      <w:tr w:rsidR="006610A2" w:rsidRPr="006752B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здоровья: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978-5-534-10465-3.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402B">
              <w:rPr>
                <w:lang w:val="ru-RU"/>
              </w:rPr>
              <w:t xml:space="preserve"> </w:t>
            </w:r>
            <w:hyperlink r:id="rId6" w:history="1">
              <w:r w:rsidR="00D7334E">
                <w:rPr>
                  <w:rStyle w:val="a3"/>
                  <w:lang w:val="ru-RU"/>
                </w:rPr>
                <w:t>https://urait.ru/bcode/430866</w:t>
              </w:r>
            </w:hyperlink>
            <w:r w:rsidRPr="0088402B">
              <w:rPr>
                <w:lang w:val="ru-RU"/>
              </w:rPr>
              <w:t xml:space="preserve"> </w:t>
            </w:r>
          </w:p>
        </w:tc>
      </w:tr>
      <w:tr w:rsidR="006610A2">
        <w:trPr>
          <w:trHeight w:hRule="exact" w:val="277"/>
        </w:trPr>
        <w:tc>
          <w:tcPr>
            <w:tcW w:w="285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610A2" w:rsidRPr="006752B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составляющих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Татарова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Татаров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консультант,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978-5-9909615-6-2.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402B">
              <w:rPr>
                <w:lang w:val="ru-RU"/>
              </w:rPr>
              <w:t xml:space="preserve"> </w:t>
            </w:r>
            <w:hyperlink r:id="rId7" w:history="1">
              <w:r w:rsidR="00D7334E">
                <w:rPr>
                  <w:rStyle w:val="a3"/>
                  <w:lang w:val="ru-RU"/>
                </w:rPr>
                <w:t>http://www.iprbookshop.ru/75150.html</w:t>
              </w:r>
            </w:hyperlink>
            <w:r w:rsidRPr="0088402B">
              <w:rPr>
                <w:lang w:val="ru-RU"/>
              </w:rPr>
              <w:t xml:space="preserve"> </w:t>
            </w:r>
          </w:p>
        </w:tc>
      </w:tr>
      <w:tr w:rsidR="006610A2" w:rsidRPr="006752B2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Петряков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Шувалова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978-5-534-07603-5.</w:t>
            </w:r>
            <w:r w:rsidRPr="0088402B">
              <w:rPr>
                <w:lang w:val="ru-RU"/>
              </w:rPr>
              <w:t xml:space="preserve"> 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40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402B">
              <w:rPr>
                <w:lang w:val="ru-RU"/>
              </w:rPr>
              <w:t xml:space="preserve"> </w:t>
            </w:r>
            <w:hyperlink r:id="rId8" w:history="1">
              <w:r w:rsidR="00D7334E">
                <w:rPr>
                  <w:rStyle w:val="a3"/>
                  <w:lang w:val="ru-RU"/>
                </w:rPr>
                <w:t>https://urait.ru/bcode/437688</w:t>
              </w:r>
            </w:hyperlink>
            <w:r w:rsidRPr="0088402B">
              <w:rPr>
                <w:lang w:val="ru-RU"/>
              </w:rPr>
              <w:t xml:space="preserve"> </w:t>
            </w:r>
          </w:p>
        </w:tc>
      </w:tr>
      <w:tr w:rsidR="006610A2" w:rsidRPr="006752B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610A2" w:rsidRPr="006752B2">
        <w:trPr>
          <w:trHeight w:hRule="exact" w:val="967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840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840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</w:t>
            </w:r>
          </w:p>
        </w:tc>
      </w:tr>
    </w:tbl>
    <w:p w:rsidR="006610A2" w:rsidRPr="0088402B" w:rsidRDefault="00E02931">
      <w:pPr>
        <w:rPr>
          <w:sz w:val="0"/>
          <w:szCs w:val="0"/>
          <w:lang w:val="ru-RU"/>
        </w:rPr>
      </w:pPr>
      <w:r w:rsidRPr="00884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0A2" w:rsidRPr="006752B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(или) асинхронное взаимодействие посредством сети «Интернет».</w:t>
            </w:r>
          </w:p>
        </w:tc>
      </w:tr>
      <w:tr w:rsidR="006610A2" w:rsidRPr="006752B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6610A2" w:rsidRPr="006752B2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610A2" w:rsidRPr="006752B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</w:tbl>
    <w:p w:rsidR="006610A2" w:rsidRPr="0088402B" w:rsidRDefault="00E02931">
      <w:pPr>
        <w:rPr>
          <w:sz w:val="0"/>
          <w:szCs w:val="0"/>
          <w:lang w:val="ru-RU"/>
        </w:rPr>
      </w:pPr>
      <w:r w:rsidRPr="00884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0A2" w:rsidRPr="006752B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Перечень программного обеспечения</w:t>
            </w:r>
          </w:p>
          <w:p w:rsidR="006610A2" w:rsidRPr="0088402B" w:rsidRDefault="006610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6610A2" w:rsidRDefault="00E02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610A2" w:rsidRDefault="00E029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6610A2" w:rsidRPr="0088402B" w:rsidRDefault="006610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610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610A2" w:rsidRPr="006752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6610A2" w:rsidRPr="006752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6610A2" w:rsidRPr="006752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D733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6610A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Default="00E02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610A2" w:rsidRPr="006752B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6610A2" w:rsidRPr="006752B2">
        <w:trPr>
          <w:trHeight w:hRule="exact" w:val="277"/>
        </w:trPr>
        <w:tc>
          <w:tcPr>
            <w:tcW w:w="9640" w:type="dxa"/>
          </w:tcPr>
          <w:p w:rsidR="006610A2" w:rsidRPr="0088402B" w:rsidRDefault="006610A2">
            <w:pPr>
              <w:rPr>
                <w:lang w:val="ru-RU"/>
              </w:rPr>
            </w:pPr>
          </w:p>
        </w:tc>
      </w:tr>
      <w:tr w:rsidR="006610A2" w:rsidRPr="006752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610A2" w:rsidRPr="006752B2">
        <w:trPr>
          <w:trHeight w:hRule="exact" w:val="1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</w:t>
            </w:r>
          </w:p>
        </w:tc>
      </w:tr>
    </w:tbl>
    <w:p w:rsidR="006610A2" w:rsidRPr="0088402B" w:rsidRDefault="00E02931">
      <w:pPr>
        <w:rPr>
          <w:sz w:val="0"/>
          <w:szCs w:val="0"/>
          <w:lang w:val="ru-RU"/>
        </w:rPr>
      </w:pPr>
      <w:r w:rsidRPr="00884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0A2" w:rsidRPr="006752B2">
        <w:trPr>
          <w:trHeight w:hRule="exact" w:val="12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расположенных по адресу г. Омск, ул. 4 Челюскинцев, 2а, г. Омск, ул. 2 Производственная, д. 41/1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840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8840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8840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610A2" w:rsidRPr="0088402B" w:rsidRDefault="00E029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6610A2" w:rsidRPr="006752B2">
        <w:trPr>
          <w:trHeight w:hRule="exact" w:val="29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</w:t>
            </w:r>
          </w:p>
        </w:tc>
      </w:tr>
    </w:tbl>
    <w:p w:rsidR="006610A2" w:rsidRPr="0088402B" w:rsidRDefault="00E02931">
      <w:pPr>
        <w:rPr>
          <w:sz w:val="0"/>
          <w:szCs w:val="0"/>
          <w:lang w:val="ru-RU"/>
        </w:rPr>
      </w:pPr>
      <w:r w:rsidRPr="00884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10A2" w:rsidRPr="006752B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10A2" w:rsidRPr="0088402B" w:rsidRDefault="00E029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4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М.М., раздаточные материалы: диагностика темперамента, диагностика эмоционально- 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6610A2" w:rsidRPr="0088402B" w:rsidRDefault="006610A2">
      <w:pPr>
        <w:rPr>
          <w:lang w:val="ru-RU"/>
        </w:rPr>
      </w:pPr>
    </w:p>
    <w:sectPr w:rsidR="006610A2" w:rsidRPr="0088402B" w:rsidSect="00896A2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1F1785"/>
    <w:rsid w:val="002F1564"/>
    <w:rsid w:val="003E3026"/>
    <w:rsid w:val="006610A2"/>
    <w:rsid w:val="006752B2"/>
    <w:rsid w:val="0088402B"/>
    <w:rsid w:val="00896A24"/>
    <w:rsid w:val="00D31453"/>
    <w:rsid w:val="00D7334E"/>
    <w:rsid w:val="00E02931"/>
    <w:rsid w:val="00E209E2"/>
    <w:rsid w:val="00E5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99419F-FF68-41FD-9526-E4BB4DDF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9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3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7688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75150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0866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42123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37220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5963</Words>
  <Characters>33993</Characters>
  <Application>Microsoft Office Word</Application>
  <DocSecurity>0</DocSecurity>
  <Lines>283</Lines>
  <Paragraphs>79</Paragraphs>
  <ScaleCrop>false</ScaleCrop>
  <Company>diakov.net</Company>
  <LinksUpToDate>false</LinksUpToDate>
  <CharactersWithSpaces>39877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(ППДО)(21)_plx_Основы ЗОЖ и гигиена</dc:title>
  <dc:creator>FastReport.NET</dc:creator>
  <cp:lastModifiedBy>Mark Bernstorf</cp:lastModifiedBy>
  <cp:revision>8</cp:revision>
  <dcterms:created xsi:type="dcterms:W3CDTF">2021-09-20T04:31:00Z</dcterms:created>
  <dcterms:modified xsi:type="dcterms:W3CDTF">2022-11-13T13:31:00Z</dcterms:modified>
</cp:coreProperties>
</file>